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3" w:rsidRDefault="00002AE6" w:rsidP="002E7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стратегии развития </w:t>
      </w:r>
      <w:r w:rsidR="002E7CD3">
        <w:rPr>
          <w:rFonts w:ascii="Times New Roman" w:hAnsi="Times New Roman"/>
          <w:b/>
          <w:sz w:val="28"/>
          <w:szCs w:val="28"/>
        </w:rPr>
        <w:t>ОАО «Маяк Высокое»</w:t>
      </w:r>
    </w:p>
    <w:p w:rsidR="002E7CD3" w:rsidRPr="009C3DFA" w:rsidRDefault="002E7CD3" w:rsidP="002E7C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CD3" w:rsidRDefault="002E7CD3" w:rsidP="002E7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финансового состояния ОАО «Маяк Высокое» показывает, что организация имеет прибыль от текущей деятельности, положительную рентабельность продаж, относится к платежеспособному предприятию, имеет возможность осуществлять самостоятельно погашение своих долговых обязательств перед кредиторами.</w:t>
      </w:r>
    </w:p>
    <w:p w:rsidR="002E7CD3" w:rsidRPr="002E7CD3" w:rsidRDefault="002E7CD3" w:rsidP="002E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планируется достичь выполнения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производственно-финансовой 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нашего Общества.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Планируется   на 2022 год  произвести   всей сельскохозяйственной продукции  на 18,9  процента  выше уровня  2021  года  на сумму 16  миллионов 147 тысяч рублей: из них  продукции животноводства – выше  на 4,1 процентов, что   в  сопоставимых ценах  составит 9 миллионов 420 тысяч рублей, продукции растениеводства – на   43,9 процента  выше уровня отчётного года, что в  сопоставимых ценах  составит 6 миллионов 767 тысяч рублей.</w:t>
      </w:r>
      <w:proofErr w:type="gramEnd"/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Валовой сбор  зерна  в массе после доработки  ожидается в количестве 10 800 тонн при урожайности 36 </w:t>
      </w:r>
      <w:proofErr w:type="spellStart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цн</w:t>
      </w:r>
      <w:proofErr w:type="spellEnd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/га.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Масличные культуры на  площади 654 га,  при валовом сборе  1177 тонн, урожайность семян рапса  18 </w:t>
      </w:r>
      <w:proofErr w:type="spellStart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цн</w:t>
      </w:r>
      <w:proofErr w:type="spellEnd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/га.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Заготовить травяных кормов: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 сено многолетних трав -1840 тонны, сенажа – 21 476 тонн, силоса - 31 725 тонн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елёной  массы на выпас – 6 319 тонн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елёной  массы  на зелёный корм- 2 337 тонн.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Всего заготовить зелёной массы  96 120 тонн.</w:t>
      </w:r>
    </w:p>
    <w:p w:rsidR="002E7CD3" w:rsidRPr="002E7CD3" w:rsidRDefault="002E7CD3" w:rsidP="002E7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Валовой  надой молока – 4 780 тонн,  среднегодовое поголовье коров - 660 головы,  среднегодовой  удой на 1 фуражную корову 7 012 кг.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Реализация молока в пересчёте на базисную жирность - 4 445 тонн, товарность молока  не менее - 92,0 %.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 по качеству: « Экстра» классом  -100%. 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Планируемая численность поголовья крупного рогатого скота на конец 2022 года - 9440 </w:t>
      </w:r>
      <w:proofErr w:type="gramStart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голов</w:t>
      </w:r>
      <w:proofErr w:type="gramEnd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 молодняка крупного рогатого скота – 8 780 голов.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Валовой привес  крупного рогатого скота  составит 2 500 тонн при  среднесуточном  привесе  789 граммов. Продукция выращивания </w:t>
      </w:r>
      <w:proofErr w:type="gramStart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–в</w:t>
      </w:r>
      <w:proofErr w:type="gramEnd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сего 2520 тонн.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Получить  живых телят (приплод) - 855 голов.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Покупка молодняка для дальнейшего выращивания на животноводческом комплексе - 5 415 голов.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Реализация  мяса  в живой массе  – 2 783 тонны, по качеству - 97 процентов  категориями  Супер, Прима, Экстра, Отличная, Хорошая от общей реализации.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Прочие показатели социально-экономического развития: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1.Инвестиции в основной капитал – в сумме 2 миллиона 337 тысяч рублей.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2. Показатель по энергосбережению минус 3,1%.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3. Показатель снижения затрат на производство продукции в 2022 году – минус 1,6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4. Среднесписочная численность  работающих 315 человек.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5. Фонд Оплаты Труда 4 миллиона 95 тысяч рублей.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Выручка от реализации  продукции, товаров, работ и услуг  за вычетом  налогов и сборов, исчисляемых из выручки 14 миллионов 967 тысяч рублей</w:t>
      </w:r>
      <w:bookmarkStart w:id="0" w:name="_GoBack"/>
      <w:bookmarkEnd w:id="0"/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 xml:space="preserve">  (за отчётный год 14 335 тысяч рублей).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7. Уровень  рентабельности  реализованной  продукции – 5,9 %  (в 2021г – 4,7 %)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CD3">
        <w:rPr>
          <w:rFonts w:ascii="Times New Roman" w:eastAsia="Times New Roman" w:hAnsi="Times New Roman"/>
          <w:sz w:val="28"/>
          <w:szCs w:val="28"/>
          <w:lang w:eastAsia="ru-RU"/>
        </w:rPr>
        <w:t>8. Рентабельность продаж – 5,1%.  (в 2021г – 4,1%).</w:t>
      </w:r>
    </w:p>
    <w:p w:rsidR="002E7CD3" w:rsidRPr="002E7CD3" w:rsidRDefault="002E7CD3" w:rsidP="002E7CD3">
      <w:pPr>
        <w:spacing w:after="0" w:line="240" w:lineRule="auto"/>
        <w:ind w:left="75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2E7CD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2E7CD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Основной  целью  деятельности Общества является  получение прибыли.</w:t>
      </w:r>
      <w:r w:rsidRPr="002E7CD3">
        <w:rPr>
          <w:rFonts w:ascii="Times New Roman" w:eastAsia="Times New Roman" w:hAnsi="Times New Roman"/>
          <w:b/>
          <w:bCs/>
          <w:sz w:val="36"/>
          <w:szCs w:val="24"/>
          <w:u w:val="single"/>
          <w:lang w:eastAsia="ru-RU"/>
        </w:rPr>
        <w:tab/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bCs/>
          <w:sz w:val="36"/>
          <w:szCs w:val="24"/>
          <w:lang w:eastAsia="ru-RU"/>
        </w:rPr>
      </w:pPr>
      <w:r w:rsidRPr="002E7CD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Сумма полученной прибыли  по конечному результату  планируется в сумме 772 тысяч рублей.  </w:t>
      </w:r>
    </w:p>
    <w:p w:rsidR="002E7CD3" w:rsidRPr="002E7CD3" w:rsidRDefault="002E7CD3" w:rsidP="002E7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CD3" w:rsidRDefault="002E7CD3" w:rsidP="002E7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7CD3" w:rsidSect="002E7CD3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D3"/>
    <w:rsid w:val="00002AE6"/>
    <w:rsid w:val="002E7CD3"/>
    <w:rsid w:val="008B6EBF"/>
    <w:rsid w:val="00A152D3"/>
    <w:rsid w:val="00B124CE"/>
    <w:rsid w:val="00C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dcterms:created xsi:type="dcterms:W3CDTF">2022-04-19T07:39:00Z</dcterms:created>
  <dcterms:modified xsi:type="dcterms:W3CDTF">2022-04-19T12:36:00Z</dcterms:modified>
</cp:coreProperties>
</file>